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2b45"/>
          <w:sz w:val="38"/>
          <w:szCs w:val="38"/>
        </w:rPr>
        <w:t xml:space="preserve">BUSINESS CASE &amp; PROJECT CHARTER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1f6f78"/>
          <w:sz w:val="24"/>
          <w:szCs w:val="24"/>
        </w:rPr>
        <w:t xml:space="preserve">Beyond the Model — Stage 1: Business Understanding</w:t>
      </w:r>
    </w:p>
    <w:p>
      <w:pPr>
        <w:spacing w:after="260"/>
      </w:pPr>
      <w:r>
        <w:rPr>
          <w:rFonts w:ascii="Arial" w:cs="Arial" w:eastAsia="Arial" w:hAnsi="Arial"/>
          <w:i/>
          <w:iCs/>
          <w:color w:val="3a3a3a"/>
          <w:sz w:val="19"/>
          <w:szCs w:val="19"/>
        </w:rPr>
        <w:t xml:space="preserve">A guided template — answer each question in your own words in the Author's Response box below it.</w:t>
      </w: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9e3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0d2b45"/>
                <w:sz w:val="20"/>
                <w:szCs w:val="20"/>
              </w:rPr>
              <w:t xml:space="preserve">HOW TO USE THIS TEMPLATE</w:t>
            </w:r>
          </w:p>
          <w:p>
            <w:r>
              <w:rPr>
                <w:rFonts w:ascii="Arial" w:cs="Arial" w:eastAsia="Arial" w:hAnsi="Arial"/>
                <w:color w:val="2b2b2b"/>
                <w:sz w:val="20"/>
                <w:szCs w:val="20"/>
              </w:rPr>
              <w:t xml:space="preserve">This template consolidates the initiation-stage thinking behind three RACI artifacts — the AI System Compliance Plan, the Project/Implementation Plan, and the Intended Use &amp; Business Requirements document — into one working charter. Work through each section in order; Section 5 (Regulatory &amp; Risk Classification Screening) is deliberately a screening-level pass only — full depth (DPIA, risk register, etc.) is captured in later-stage artifacts.</w:t>
            </w:r>
          </w:p>
        </w:tc>
      </w:tr>
    </w:tbl>
    <w:p>
      <w:pPr>
        <w:spacing w:after="100"/>
      </w:pP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Field</w:t>
            </w:r>
          </w:p>
        </w:tc>
        <w:tc>
          <w:tcPr>
            <w:tcW w:type="dxa" w:w="70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Entry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System / Initiative Name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Author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Date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Business/System Owner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Version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1. Business Problem &amp; Opportunity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Establish the problem clearly enough that a reader unfamiliar with the initiative understands why it exists.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problem are we solving, and for whom?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happens today without this system — manual process, existing tool, or no solution at all?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Why now — what has changed that makes this the right time to act?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2. Business Objectives &amp; Value Proposition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Translate the problem into measurable value so success can later be judged against something concrete.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measurable value does this create — cost, quality, time, or risk reduction?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benefits, and how would they describe success in their own words?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the cost or risk of not doing this?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High-Level Cost Summary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5a5a5a"/>
          <w:sz w:val="18"/>
          <w:szCs w:val="18"/>
        </w:rPr>
        <w:t xml:space="preserve">Order-of-magnitude figures only — for a full breakdown, complete the companion Solution Cost Estimate artifact and reference it here.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600"/>
        <w:gridCol w:w="2550"/>
      </w:tblGrid>
      <w:tr>
        <w:trPr>
          <w:tblHeader/>
        </w:trPr>
        <w:tc>
          <w:tcPr>
            <w:tcW w:type="dxa" w:w="4200"/>
            <w:shd w:fill="0d2b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Cost Category</w:t>
            </w:r>
          </w:p>
        </w:tc>
        <w:tc>
          <w:tcPr>
            <w:tcW w:type="dxa" w:w="2600"/>
            <w:shd w:fill="0d2b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Estimated Range</w:t>
            </w:r>
          </w:p>
        </w:tc>
        <w:tc>
          <w:tcPr>
            <w:tcW w:type="dxa" w:w="2550"/>
            <w:shd w:fill="0d2b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One-Time / Ongoing</w:t>
            </w:r>
          </w:p>
        </w:tc>
      </w:tr>
      <w:tr>
        <w:tc>
          <w:tcPr>
            <w:tcW w:type="dxa" w:w="42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Build / development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  <w:tc>
          <w:tcPr>
            <w:tcW w:type="dxa" w:w="2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420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Data acquisition or licensing</w:t>
            </w:r>
          </w:p>
        </w:tc>
        <w:tc>
          <w:tcPr>
            <w:tcW w:type="dxa" w:w="260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  <w:tc>
          <w:tcPr>
            <w:tcW w:type="dxa" w:w="255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42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Infrastructure / hosting / compute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  <w:tc>
          <w:tcPr>
            <w:tcW w:type="dxa" w:w="2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420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Integration &amp; change management</w:t>
            </w:r>
          </w:p>
        </w:tc>
        <w:tc>
          <w:tcPr>
            <w:tcW w:type="dxa" w:w="260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  <w:tc>
          <w:tcPr>
            <w:tcW w:type="dxa" w:w="255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42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Ongoing monitoring, support &amp; retraining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  <w:tc>
          <w:tcPr>
            <w:tcW w:type="dxa" w:w="2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420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Compliance / validation overhead</w:t>
            </w:r>
          </w:p>
        </w:tc>
        <w:tc>
          <w:tcPr>
            <w:tcW w:type="dxa" w:w="260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  <w:tc>
          <w:tcPr>
            <w:tcW w:type="dxa" w:w="2550"/>
            <w:shd w:fill="f4f7f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3. Intended Use, Users &amp; Prohibited Use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Define the boundary of appropriate use precisely — this answer is what later feeds transparency design (EU AI Act Art. 13) and risk classification, so vague answers here create rework downstream.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decision or action does this system support or automate?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are the intended users, and what is their expertise/context when using it?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this system explicitly not intended to be used for?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Is a human always in the loop for the final decision, or can the system act autonomously in any scenario?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4. Stakeholders &amp; Governance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Name accountability before the project has momentum — retrofitting governance after build has started is where most delivery friction comes from.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is the executive sponsor, and who is the accountable business/system owner?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Which functions must be consulted before this proceeds — Quality, Privacy, Security, Clinical, Legal?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has the authority to halt or reverse a go/no-go decision?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5. Regulatory &amp; Risk Classification Screening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This is a screening-level pass, not a full assessment — the goal is to flag which frameworks apply so the right artifacts get triggered in later stages. Getting this wrong here means every downstream artifact inherits the mistake.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GxP / 21 CFR Part 11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this system touch a GxP-regulated process, or influence a decision that a predicate rule governs?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EU AI Act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the intended use fall under Annex III (or Article 6 as a safety component)? What is the preliminary risk tier?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HIPAA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Will this system create, receive, transmit, or be trained on PHI? Are we the covered entity, or a business associate?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GDPR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it process personal data of EU individuals, and does it plausibly trigger the Article 35 DPIA criteria?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NIST AI RMF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our organization's risk tolerance for a system like this, and who owns that judgment?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ISO/IEC 42001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Does this fall within our AI Management System scope as currently defined?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6. Scope, Feasibility &amp; Constraints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Set an honest boundary around what this phase actually covers, so scope creep has something explicit to be measured against.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explicitly in scope for this phase/release, and what is explicitly deferred?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data, technical, budget, or timeline constraints already exist?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is our current confidence that a solution is technically feasible with available data?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7. Success Criteria &amp; KPIs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Define success at three levels — technical, business, and human — so the project can be judged on more than model accuracy alone.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Model Performance (Technical KPIs)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are the model-performance KPIs (e.g., accuracy, recall, AUC-ROC, robustness)?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Business Impact KPIs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are the business-impact KPIs — revenue, cost, efficiency, quality?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Adoption &amp; Human KPIs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are the adoption/human KPIs — user adoption rate, training completion, stakeholder satisfaction?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At what point would we conclude this initiative failed and should stop?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8. High-Level Requirements &amp; Assumptions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Surface what must be true for this to work, and what happens if those assumptions turn out to be wrong.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do we already know must be true for this to work — data availability, integration points, expertise?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What assumptions are we making that, if wrong, would materially change scope or feasibility?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9. Approval &amp; Sign-off</w:t>
      </w:r>
    </w:p>
    <w:p>
      <w:pPr>
        <w:spacing w:after="140"/>
      </w:pPr>
      <w:r>
        <w:rPr>
          <w:rFonts w:ascii="Arial" w:cs="Arial" w:eastAsia="Arial" w:hAnsi="Arial"/>
          <w:b/>
          <w:bCs/>
          <w:i/>
          <w:iCs/>
          <w:color w:val="1f6f78"/>
          <w:sz w:val="19"/>
          <w:szCs w:val="19"/>
        </w:rPr>
        <w:t xml:space="preserve">Purpose: </w:t>
      </w:r>
      <w:r>
        <w:rPr>
          <w:rFonts w:ascii="Arial" w:cs="Arial" w:eastAsia="Arial" w:hAnsi="Arial"/>
          <w:i/>
          <w:iCs/>
          <w:color w:val="4a4a4a"/>
          <w:sz w:val="19"/>
          <w:szCs w:val="19"/>
        </w:rPr>
        <w:t xml:space="preserve">Make the commitment explicit — approval here authorizes Stage 2 (Data Understanding) to begin.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sz w:val="20"/>
          <w:szCs w:val="20"/>
        </w:rPr>
        <w:t xml:space="preserve">Who approves this charter before Stage 2 begins, and what does approval commit the organization to?</w:t>
      </w:r>
    </w:p>
    <w:p>
      <w:pPr>
        <w:spacing w:after="80"/>
      </w:pPr>
    </w:p>
    <w:tbl>
      <w:tblPr>
        <w:tblW w:type="pct" w:w="100%"/>
        <w:tblBorders>
          <w:top w:val="single" w:color="9fb3bd" w:sz="4"/>
          <w:left w:val="single" w:color="9fb3bd" w:sz="4"/>
          <w:bottom w:val="single" w:color="9fb3bd" w:sz="4"/>
          <w:right w:val="single" w:color="9fb3b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EFE" w:val="clear"/>
            <w:tcMar>
              <w:top w:type="dxa" w:w="140"/>
              <w:left w:type="dxa" w:w="200"/>
              <w:bottom w:type="dxa" w:w="100"/>
              <w:right w:type="dxa" w:w="20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8a97a0"/>
                <w:sz w:val="15"/>
                <w:szCs w:val="15"/>
              </w:rPr>
              <w:t xml:space="preserve">AUTHOR'S RESPONSE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single" w:color="c9d2d8" w:sz="4"/>
          <w:left w:val="single" w:color="c9d2d8" w:sz="4"/>
          <w:bottom w:val="single" w:color="c9d2d8" w:sz="4"/>
          <w:right w:val="single" w:color="c9d2d8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dxa" w:w="25"/>
            <w:shd w:fill="0d2b45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Business/System Owner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Executive Sponsor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4f7f8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0d2b45"/>
                <w:sz w:val="18"/>
                <w:szCs w:val="18"/>
              </w:rPr>
              <w:t xml:space="preserve">Quality/Compliance Lead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shd w:fill="FFFFF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pBdr>
          <w:bottom w:val="single" w:color="0d2b45" w:sz="6" w:space="4"/>
        </w:pBdr>
        <w:spacing w:after="100" w:before="340"/>
      </w:pPr>
      <w:r>
        <w:rPr>
          <w:rFonts w:ascii="Arial" w:cs="Arial" w:eastAsia="Arial" w:hAnsi="Arial"/>
          <w:b/>
          <w:bCs/>
          <w:color w:val="0d2b45"/>
          <w:sz w:val="27"/>
          <w:szCs w:val="27"/>
        </w:rPr>
        <w:t xml:space="preserve">References &amp; Sources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4a4a4a"/>
          <w:sz w:val="18"/>
          <w:szCs w:val="18"/>
        </w:rPr>
        <w:t xml:space="preserve">External sources consulted in developing this artifact's structure and requirements. Article/clause-level citations appear inline throughout; full source details are listed here for verification.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21 CFR Part 11 — Electronic Records; Electronic Signatures</w:t>
      </w:r>
      <w:r>
        <w:rPr>
          <w:rFonts w:ascii="Arial" w:cs="Arial" w:eastAsia="Arial" w:hAnsi="Arial"/>
          <w:sz w:val="19"/>
          <w:szCs w:val="19"/>
        </w:rPr>
        <w:t xml:space="preserve"> — U.S. Food and Drug Administration (eCFR)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https://www.ecfr.gov/current/title-21/chapter-I/subchapter-A/part-11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Regulation (EU) 2024/1689 (Artificial Intelligence Act)</w:t>
      </w:r>
      <w:r>
        <w:rPr>
          <w:rFonts w:ascii="Arial" w:cs="Arial" w:eastAsia="Arial" w:hAnsi="Arial"/>
          <w:sz w:val="19"/>
          <w:szCs w:val="19"/>
        </w:rPr>
        <w:t xml:space="preserve"> — European Parliament and Council of the European Union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https://eur-lex.europa.eu/eli/reg/2024/1689/oj/eng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HIPAA Security Rule, 45 CFR Parts 160 &amp; 164</w:t>
      </w:r>
      <w:r>
        <w:rPr>
          <w:rFonts w:ascii="Arial" w:cs="Arial" w:eastAsia="Arial" w:hAnsi="Arial"/>
          <w:sz w:val="19"/>
          <w:szCs w:val="19"/>
        </w:rPr>
        <w:t xml:space="preserve"> — U.S. Department of Health and Human Services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https://www.hhs.gov/hipaa/for-professionals/security/index.html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Regulation (EU) 2016/679 (General Data Protection Regulation)</w:t>
      </w:r>
      <w:r>
        <w:rPr>
          <w:rFonts w:ascii="Arial" w:cs="Arial" w:eastAsia="Arial" w:hAnsi="Arial"/>
          <w:sz w:val="19"/>
          <w:szCs w:val="19"/>
        </w:rPr>
        <w:t xml:space="preserve"> — European Parliament and Council of the European Union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https://eur-lex.europa.eu/eli/reg/2016/679/oj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AI Risk Management Framework (AI RMF 1.0)</w:t>
      </w:r>
      <w:r>
        <w:rPr>
          <w:rFonts w:ascii="Arial" w:cs="Arial" w:eastAsia="Arial" w:hAnsi="Arial"/>
          <w:sz w:val="19"/>
          <w:szCs w:val="19"/>
        </w:rPr>
        <w:t xml:space="preserve"> — National Institute of Standards and Technology (NIST)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https://www.nist.gov/itl/ai-risk-management-framework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0d2b45"/>
          <w:sz w:val="19"/>
          <w:szCs w:val="19"/>
        </w:rPr>
        <w:t xml:space="preserve">ISO/IEC 42001:2023 — AI Management System</w:t>
      </w:r>
      <w:r>
        <w:rPr>
          <w:rFonts w:ascii="Arial" w:cs="Arial" w:eastAsia="Arial" w:hAnsi="Arial"/>
          <w:sz w:val="19"/>
          <w:szCs w:val="19"/>
        </w:rPr>
        <w:t xml:space="preserve"> — International Organization for Standardization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1f6f78"/>
          <w:sz w:val="17"/>
          <w:szCs w:val="17"/>
        </w:rPr>
        <w:t xml:space="preserve">https://www.iso.org/standard/81230.html</w:t>
      </w:r>
    </w:p>
    <w:p>
      <w:pPr>
        <w:spacing w:after="0" w:before="60"/>
      </w:pPr>
      <w:r>
        <w:rPr>
          <w:rFonts w:ascii="Arial" w:cs="Arial" w:eastAsia="Arial" w:hAnsi="Arial"/>
          <w:b/>
          <w:bCs/>
          <w:color w:val="0d2b45"/>
          <w:sz w:val="18"/>
          <w:szCs w:val="18"/>
        </w:rPr>
        <w:t xml:space="preserve">Internal references: </w:t>
      </w:r>
      <w:r>
        <w:rPr>
          <w:rFonts w:ascii="Arial" w:cs="Arial" w:eastAsia="Arial" w:hAnsi="Arial"/>
          <w:i/>
          <w:iCs/>
          <w:sz w:val="18"/>
          <w:szCs w:val="18"/>
        </w:rPr>
        <w:t xml:space="preserve">Companion Solution Cost Estimate artifact (detailed cost/benefit backing for the High-Level Cost Summary in Section 2).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8" w:sz="4" w:space="4"/>
      </w:pBdr>
      <w:tabs>
        <w:tab w:val="right" w:pos="9350"/>
      </w:tabs>
    </w:pPr>
    <w:r>
      <w:rPr>
        <w:rFonts w:ascii="Arial" w:cs="Arial" w:eastAsia="Arial" w:hAnsi="Arial"/>
        <w:color w:val="6b6b6b"/>
        <w:sz w:val="16"/>
        <w:szCs w:val="16"/>
      </w:rPr>
      <w:t xml:space="preserve">Maria Febus · Beyond the Model — Implementation Artifact Templates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6b6b6b"/>
        <w:sz w:val="16"/>
        <w:szCs w:val="16"/>
      </w:rPr>
      <w:t xml:space="preserve">Page </w:t>
    </w:r>
    <w:r>
      <w:rPr>
        <w:rFonts w:ascii="Arial" w:cs="Arial" w:eastAsia="Arial" w:hAnsi="Arial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b6b"/>
        <w:sz w:val="16"/>
        <w:szCs w:val="16"/>
      </w:rPr>
      <w:t xml:space="preserve"> of </w:t>
    </w:r>
    <w:r>
      <w:rPr>
        <w:rFonts w:ascii="Arial" w:cs="Arial" w:eastAsia="Arial" w:hAnsi="Arial"/>
        <w:color w:val="6b6b6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8" w:sz="4" w:space="4"/>
      </w:pBdr>
    </w:pPr>
    <w:r>
      <w:rPr>
        <w:rFonts w:ascii="Arial" w:cs="Arial" w:eastAsia="Arial" w:hAnsi="Arial"/>
        <w:b/>
        <w:bCs/>
        <w:color w:val="1f6f78"/>
        <w:sz w:val="16"/>
        <w:szCs w:val="16"/>
      </w:rPr>
      <w:t xml:space="preserve">BUSINESS CASE &amp; PROJECT CHARTER — STAGE 1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2026-08-11T17:45:02.907Z</dcterms:created>
  <dcterms:modified xsi:type="dcterms:W3CDTF">2026-08-11T17:45:02.919Z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