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d2b45"/>
          <w:sz w:val="38"/>
          <w:szCs w:val="38"/>
        </w:rPr>
        <w:t xml:space="preserve">COMPLIANCE ANALYSIS</w:t>
      </w:r>
    </w:p>
    <w:p>
      <w:pPr>
        <w:spacing w:after="20"/>
      </w:pPr>
      <w:r>
        <w:rPr>
          <w:rFonts w:ascii="Arial" w:cs="Arial" w:eastAsia="Arial" w:hAnsi="Arial"/>
          <w:b/>
          <w:bCs/>
          <w:color w:val="1f6f78"/>
          <w:sz w:val="22"/>
          <w:szCs w:val="22"/>
        </w:rPr>
        <w:t xml:space="preserve">Product-Level, Living Document — Pre-Stage 1 and Ongoing</w:t>
      </w:r>
    </w:p>
    <w:p>
      <w:pPr>
        <w:spacing w:after="260"/>
      </w:pPr>
      <w:r>
        <w:rPr>
          <w:rFonts w:ascii="Arial" w:cs="Arial" w:eastAsia="Arial" w:hAnsi="Arial"/>
          <w:i/>
          <w:iCs/>
          <w:color w:val="3a3a3a"/>
          <w:sz w:val="19"/>
          <w:szCs w:val="19"/>
        </w:rPr>
        <w:t xml:space="preserve">Started the moment a product idea exists, before a project charter does — revisited at every release, not written once.</w:t>
      </w:r>
    </w:p>
    <w:tbl>
      <w:tblPr>
        <w:tblW w:type="pct" w:w="100%"/>
        <w:tblBorders>
          <w:top w:val="single" w:color="c9d2d8" w:sz="4"/>
          <w:left w:val="single" w:color="c9d2d8" w:sz="4"/>
          <w:bottom w:val="single" w:color="c9d2d8" w:sz="4"/>
          <w:right w:val="single" w:color="c9d2d8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9e3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0d2b45"/>
                <w:sz w:val="20"/>
                <w:szCs w:val="20"/>
              </w:rPr>
              <w:t xml:space="preserve">HOW THIS DIFFERS FROM EVERYTHING ELSE IN THIS SERIES</w:t>
            </w:r>
          </w:p>
          <w:p>
            <w:r>
              <w:rPr>
                <w:rFonts w:ascii="Arial" w:cs="Arial" w:eastAsia="Arial" w:hAnsi="Arial"/>
                <w:color w:val="2b2b2b"/>
                <w:sz w:val="20"/>
                <w:szCs w:val="20"/>
              </w:rPr>
              <w:t xml:space="preserve">Every other artifact in this series is project-scoped — built once per initiative, tied to one Business Case &amp; Project Charter. This one is product-scoped: it belongs to the AI product itself, persists across every release and every future project touching that product, and gets updated — not recreated — whenever something material changes. Complete Sections 1–7 as early as you have a product idea and rough data/use-case information, well before a formal charter exists. Section 8's classification is what determines how much of the rest of this artifact series a given release actually needs.</w:t>
            </w:r>
          </w:p>
        </w:tc>
      </w:tr>
    </w:tbl>
    <w:p>
      <w:pPr>
        <w:spacing w:after="100"/>
      </w:pPr>
    </w:p>
    <w:tbl>
      <w:tblPr>
        <w:tblW w:type="pct" w:w="100%"/>
        <w:tblBorders>
          <w:top w:val="single" w:color="c9d2d8" w:sz="4"/>
          <w:left w:val="single" w:color="c9d2d8" w:sz="4"/>
          <w:bottom w:val="single" w:color="c9d2d8" w:sz="4"/>
          <w:right w:val="single" w:color="c9d2d8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0"/>
            <w:shd w:fill="0d2b45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Field</w:t>
            </w:r>
          </w:p>
        </w:tc>
        <w:tc>
          <w:tcPr>
            <w:tcW w:type="dxa" w:w="70"/>
            <w:shd w:fill="0d2b45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Entry</w:t>
            </w:r>
          </w:p>
        </w:tc>
      </w:tr>
      <w:tr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Product / System Name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Product Owner</w:t>
            </w:r>
          </w:p>
        </w:tc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Current Version of This Analysis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Date of Last Review</w:t>
            </w:r>
          </w:p>
        </w:tc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Next Scheduled Review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60"/>
      </w:pPr>
    </w:p>
    <w:p>
      <w:pPr>
        <w:spacing w:after="60"/>
      </w:pPr>
      <w:r>
        <w:rPr>
          <w:rFonts w:ascii="Arial" w:cs="Arial" w:eastAsia="Arial" w:hAnsi="Arial"/>
          <w:b/>
          <w:bCs/>
          <w:color w:val="1f6f78"/>
          <w:sz w:val="20"/>
          <w:szCs w:val="20"/>
        </w:rPr>
        <w:t xml:space="preserve">Revision History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600"/>
        <w:gridCol w:w="2300"/>
        <w:gridCol w:w="2000"/>
        <w:gridCol w:w="2050"/>
      </w:tblGrid>
      <w:tr>
        <w:trPr>
          <w:tblHeader/>
        </w:trPr>
        <w:tc>
          <w:tcPr>
            <w:tcW w:type="dxa" w:w="1400"/>
            <w:shd w:fill="0d2b45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Version</w:t>
            </w:r>
          </w:p>
        </w:tc>
        <w:tc>
          <w:tcPr>
            <w:tcW w:type="dxa" w:w="1600"/>
            <w:shd w:fill="0d2b45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Date</w:t>
            </w:r>
          </w:p>
        </w:tc>
        <w:tc>
          <w:tcPr>
            <w:tcW w:type="dxa" w:w="2300"/>
            <w:shd w:fill="0d2b45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Release / Trigger</w:t>
            </w:r>
          </w:p>
        </w:tc>
        <w:tc>
          <w:tcPr>
            <w:tcW w:type="dxa" w:w="2000"/>
            <w:shd w:fill="0d2b45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Author</w:t>
            </w:r>
          </w:p>
        </w:tc>
        <w:tc>
          <w:tcPr>
            <w:tcW w:type="dxa" w:w="2050"/>
            <w:shd w:fill="0d2b45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Summary of Changes</w:t>
            </w:r>
          </w:p>
        </w:tc>
      </w:tr>
      <w:tr>
        <w:tc>
          <w:tcPr>
            <w:tcW w:type="dxa" w:w="14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1.0</w:t>
            </w:r>
          </w:p>
        </w:tc>
        <w:tc>
          <w:tcPr>
            <w:tcW w:type="dxa" w:w="16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23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Initial analysis</w:t>
            </w:r>
          </w:p>
        </w:tc>
        <w:tc>
          <w:tcPr>
            <w:tcW w:type="dxa" w:w="20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205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14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16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23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20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205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14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16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23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20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205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1. Product / System Overview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Establish the identity this compliance profile tracks going forward — everything else in this document attaches to this product, not to any single project.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is this product/system, and what does it do, in plain language?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Who is the accountable Product Owner for this compliance profile over time (not just for one release)?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Does this analysis cover a single product, or a product family / shared platform used by multiple products?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is the intended user base and deployment context (internal tool, customer-facing, embedded in another product)?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2. Data Types &amp; Sensitivity Screening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Identify what kinds of data this product will ever plausibly touch — broader than any single project's dataset, since this profile has to hold up across future releases too.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categories of data does (or will) this product process — PHI, PII, biometric, financial, de-identified, synthetic?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is the overall data sensitivity classification (Public / Internal / Confidential / Restricted)?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Does this product process data across multiple jurisdictions, raising data residency or cross-border transfer questions?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3. Applicable Legal &amp; Regulatory Screening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An early, product-level pass across the same frameworks the Master Crosswalk covers in depth — the goal here is a first-pass flag, not a final determination.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0"/>
        <w:gridCol w:w="1900"/>
        <w:gridCol w:w="4800"/>
      </w:tblGrid>
      <w:tr>
        <w:trPr>
          <w:tblHeader/>
        </w:trPr>
        <w:tc>
          <w:tcPr>
            <w:tcW w:type="dxa" w:w="2650"/>
            <w:shd w:fill="0d2b45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Framework</w:t>
            </w:r>
          </w:p>
        </w:tc>
        <w:tc>
          <w:tcPr>
            <w:tcW w:type="dxa" w:w="1900"/>
            <w:shd w:fill="0d2b45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Likely Applies?</w:t>
            </w:r>
          </w:p>
        </w:tc>
        <w:tc>
          <w:tcPr>
            <w:tcW w:type="dxa" w:w="4800"/>
            <w:shd w:fill="0d2b45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Basis for Determination</w:t>
            </w:r>
          </w:p>
        </w:tc>
      </w:tr>
      <w:tr>
        <w:tc>
          <w:tcPr>
            <w:tcW w:type="dxa" w:w="265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GxP / 21 CFR Part 11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4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265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EU AI Act</w:t>
            </w:r>
          </w:p>
        </w:tc>
        <w:tc>
          <w:tcPr>
            <w:tcW w:type="dxa" w:w="19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48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265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HIPAA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4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265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GDPR</w:t>
            </w:r>
          </w:p>
        </w:tc>
        <w:tc>
          <w:tcPr>
            <w:tcW w:type="dxa" w:w="19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48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265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SOC 2 (Type I / II)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4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265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State privacy law (e.g., CCPA)</w:t>
            </w:r>
          </w:p>
        </w:tc>
        <w:tc>
          <w:tcPr>
            <w:tcW w:type="dxa" w:w="19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48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265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Industry-specific (e.g., ISO 13485)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4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265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OECD AI Principles (voluntary; often a de facto baseline)</w:t>
            </w:r>
          </w:p>
        </w:tc>
        <w:tc>
          <w:tcPr>
            <w:tcW w:type="dxa" w:w="19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48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265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ISO/IEC 22989 (AI terminology, if formal AI vocabulary alignment is required)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  <w:tc>
          <w:tcPr>
            <w:tcW w:type="dxa" w:w="4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 </w:t>
            </w:r>
          </w:p>
        </w:tc>
      </w:tr>
    </w:tbl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4. Legal Considerations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Cover the contract/IP/liability questions that sit alongside regulatory applicability — a product can be fully compliant on paper and still carry unresolved legal exposure.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Who owns the IP in the training data, the model weights, and the model's outputs — especially if third-party data or a foundation model/API is used?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vendor or third-party agreements exist for data licensing, model/API providers, or hosting, and do they include AI-specific liability and audit-rights terms?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liability allocation applies if this system's output contributes to a harmful decision — indemnification, insurance coverage, limitation-of-liability clauses?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Does deploying or updating this product require changes to Terms of Service, an End User License Agreement, or existing customer contracts?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At what points is legal counsel review required before a release proceeds (e.g., new data source, new jurisdiction, new vendor)?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5. Data Privacy Deep-Dive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Go beyond the Section 3 applicability checkbox — GDPR/HIPAA/CCPA 'likely applies' is a screening result, not a privacy program. This is where the actual mechanisms get named.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is the lawful basis for processing personal data (GDPR Art. 6, and Art. 9 if special-category/health data is involved)?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Does this product's processing trigger a mandatory Data Protection Impact Assessment (GDPR Art. 35 criteria)? Has one been initiated, and where does it live?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data subject rights mechanisms exist — access, correction, erasure, portability — and can they actually be fulfilled for data that has already been used to train a model (a known hard problem, not a checkbox)?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If consent is the lawful basis for any part of processing, what consent management approach applies, and how is withdrawal handled?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cross-border data transfer mechanism applies if data moves outside its origin jurisdiction (Standard Contractual Clauses, adequacy decision, Binding Corporate Rules)?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subprocessor/third-party data-sharing agreements are in place, and do they flow down the same privacy obligations this product is subject to?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6. Information Security Requirements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Set the security baseline this product must maintain for its entire life — unlike a project's security design, this doesn't reset with each release; each release must meet or exceed it.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access control tier applies (role-based access, least-privilege standard, MFA requirements)?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encryption standard applies at rest and in transit, given the data sensitivity classification in Section 2?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security certifications are required or targeted for this product (SOC 2 Type II, ISO 27001, HITRUST)?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Who owns confirming that each new release still meets this baseline before go-live?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7. Records Retention &amp; Archiving Requirements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Establish retention obligations at the product level — these typically outlive any single release and need a consistent answer regardless of which team is running a given project.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retention period applies to this product's data and records, and under which regulation or policy?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archiving and disposal process applies once the retention period ends?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Are there litigation hold or legal discovery considerations that could override standard retention/disposal?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8. Product Risk Classification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Combine the findings above into one classification — this determination is what decides how much of the rest of this artifact series a given release actually needs. Select the applicable value on each axis; the regulations are presented so the person makes the call, not the template.</w:t>
      </w:r>
    </w:p>
    <w:tbl>
      <w:tblPr>
        <w:tblW w:type="pct" w:w="100%"/>
        <w:tblBorders>
          <w:top w:val="single" w:color="c9d2d8" w:sz="4"/>
          <w:left w:val="single" w:color="c9d2d8" w:sz="4"/>
          <w:bottom w:val="single" w:color="c9d2d8" w:sz="4"/>
          <w:right w:val="single" w:color="c9d2d8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ECEA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0d2b45"/>
                <w:sz w:val="20"/>
                <w:szCs w:val="20"/>
              </w:rPr>
              <w:t xml:space="preserve">STEP ONE — PROHIBITED PRACTICES SCREEN (EU AI Act Art. 5)  [Added: covers cheat-sheet gap #1 — prohibited-use screening, distinct from risk-tier classification]</w:t>
            </w:r>
          </w:p>
          <w:p>
            <w:r>
              <w:rPr>
                <w:rFonts w:ascii="Arial" w:cs="Arial" w:eastAsia="Arial" w:hAnsi="Arial"/>
                <w:color w:val="2b2b2b"/>
                <w:sz w:val="20"/>
                <w:szCs w:val="20"/>
              </w:rPr>
              <w:t xml:space="preserve">Answer this before selecting Axis 2 below. If the answer to ANY question is yes, this system cannot proceed in its current form — this is a hard stop, not a risk tier to manage or document around. Does this system: (a) use social scoring to evaluate or classify people based on behavior, leading to detrimental treatment unrelated to the context? (b) exploit vulnerabilities of a specific group (age, disability, socioeconomic situation) to materially distort behavior? (c) use subliminal or manipulative techniques to distort behavior and impair informed decision-making? (d) perform real-time remote biometric identification in publicly accessible spaces for law enforcement (outside narrow statutory exceptions)? (e) infer emotions in the workplace or in educational institutions (outside medical/safety exceptions)? (f) perform biometric categorization to infer race, political opinions, religious beliefs, sexual orientation, or similar sensitive attributes? (g) perform untargeted scraping of facial images to build or expand a facial recognition database? (h) perform predictive policing based solely on profiling a person or assessing their characteristics?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Prohibited Practices Screen — Author's Determination:</w:t>
      </w:r>
    </w:p>
    <w:p>
      <w:pPr>
        <w:spacing w:after="16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☐ No prohibited practice identified — proceed to Axis 1 below      ☐ Prohibited practice identified — STOP; escalate to Legal Counsel and the AI Governance Board before any further work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Axis 1 — GxP Status</w:t>
      </w:r>
    </w:p>
    <w:p>
      <w:pPr>
        <w:spacing w:after="100"/>
      </w:pPr>
      <w:r>
        <w:rPr>
          <w:rFonts w:ascii="Arial" w:cs="Arial" w:eastAsia="Arial" w:hAnsi="Arial"/>
          <w:sz w:val="19"/>
          <w:szCs w:val="19"/>
        </w:rPr>
        <w:t xml:space="preserve">☐ GxP-regulated (touches a predicate rule / validated system)      ☐ Non-GxP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Axis 2 — EU AI Act Risk Tier</w:t>
      </w:r>
    </w:p>
    <w:p>
      <w:pPr>
        <w:spacing w:after="60"/>
      </w:pPr>
      <w:r>
        <w:rPr>
          <w:rFonts w:ascii="Arial" w:cs="Arial" w:eastAsia="Arial" w:hAnsi="Arial"/>
          <w:sz w:val="19"/>
          <w:szCs w:val="19"/>
        </w:rPr>
        <w:t xml:space="preserve">☐ Unacceptable risk (see prohibited-practices screen above)      ☐ High-risk (Annex III / Art. 6)      ☐ Limited risk (transparency obligations)      ☐ Minimal risk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4a4a4a"/>
          <w:sz w:val="17"/>
          <w:szCs w:val="17"/>
        </w:rPr>
        <w:t xml:space="preserve">If selecting High-risk, confirm against Annex III's specific categories  [Added: covers cheat-sheet gap #3]: medical devices/health; vehicles; recruitment, HR &amp; worker management; education &amp; vocational training; access to essential services (insurance, banking, credit, benefits); critical infrastructure (water, gas, electricity); law enforcement; migration, asylum &amp; border control; administration of justice &amp; democratic processes; biometric identification/categorization (where not already prohibited under Art. 5). A system outside all of these categories is not automatically High-Risk under Annex III — confirm it isn't caught by Article 6's separate safety-component test instead.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Axis 3 — Data Sensitivity (from Section 2)</w:t>
      </w:r>
    </w:p>
    <w:p>
      <w:pPr>
        <w:spacing w:after="160"/>
      </w:pPr>
      <w:r>
        <w:rPr>
          <w:rFonts w:ascii="Arial" w:cs="Arial" w:eastAsia="Arial" w:hAnsi="Arial"/>
          <w:sz w:val="19"/>
          <w:szCs w:val="19"/>
        </w:rPr>
        <w:t xml:space="preserve">☐ Restricted      ☐ Confidential      ☐ Internal      ☐ Public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50"/>
        <w:gridCol w:w="3500"/>
      </w:tblGrid>
      <w:tr>
        <w:trPr>
          <w:tblHeader/>
        </w:trPr>
        <w:tc>
          <w:tcPr>
            <w:tcW w:type="dxa" w:w="5850"/>
            <w:shd w:fill="0d2b45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Combined Profile</w:t>
            </w:r>
          </w:p>
        </w:tc>
        <w:tc>
          <w:tcPr>
            <w:tcW w:type="dxa" w:w="3500"/>
            <w:shd w:fill="0d2b45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Resulting Documentation Tier</w:t>
            </w:r>
          </w:p>
        </w:tc>
      </w:tr>
      <w:tr>
        <w:tc>
          <w:tcPr>
            <w:tcW w:type="dxa" w:w="585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GxP + High-Risk (any data sensitivity)</w:t>
            </w:r>
          </w:p>
        </w:tc>
        <w:tc>
          <w:tcPr>
            <w:tcW w:type="dxa" w:w="3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Tier 1 — Full documentation package</w:t>
            </w:r>
          </w:p>
        </w:tc>
      </w:tr>
      <w:tr>
        <w:tc>
          <w:tcPr>
            <w:tcW w:type="dxa" w:w="585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Non-GxP + High-Risk, or GxP + Limited/Minimal risk</w:t>
            </w:r>
          </w:p>
        </w:tc>
        <w:tc>
          <w:tcPr>
            <w:tcW w:type="dxa" w:w="35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Tier 2 — Standard documentation package</w:t>
            </w:r>
          </w:p>
        </w:tc>
      </w:tr>
      <w:tr>
        <w:tc>
          <w:tcPr>
            <w:tcW w:type="dxa" w:w="585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Non-GxP + Limited/Minimal risk + Internal/Public data</w:t>
            </w:r>
          </w:p>
        </w:tc>
        <w:tc>
          <w:tcPr>
            <w:tcW w:type="dxa" w:w="3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Tier 3 — Light documentation package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c9d2d8" w:sz="4"/>
          <w:left w:val="single" w:color="c9d2d8" w:sz="4"/>
          <w:bottom w:val="single" w:color="c9d2d8" w:sz="4"/>
          <w:right w:val="single" w:color="c9d2d8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afaf1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0d2b45"/>
                <w:sz w:val="20"/>
                <w:szCs w:val="20"/>
              </w:rPr>
              <w:t xml:space="preserve">OVERRIDE RULE</w:t>
            </w:r>
          </w:p>
          <w:p>
            <w:r>
              <w:rPr>
                <w:rFonts w:ascii="Arial" w:cs="Arial" w:eastAsia="Arial" w:hAnsi="Arial"/>
                <w:color w:val="2b2b2b"/>
                <w:sz w:val="20"/>
                <w:szCs w:val="20"/>
              </w:rPr>
              <w:t xml:space="preserve">Restricted data sensitivity (Section 2) escalates a product to at least Tier 2 regardless of GxP/EU AI Act tier — highly sensitive data justifies rigor even in a nominally low-risk system.</w:t>
            </w:r>
          </w:p>
        </w:tc>
      </w:tr>
    </w:tbl>
    <w:p>
      <w:pPr>
        <w:spacing w:after="160"/>
      </w:pPr>
    </w:p>
    <w:p>
      <w:pPr>
        <w:spacing w:after="100"/>
      </w:pPr>
      <w:r>
        <w:rPr>
          <w:rFonts w:ascii="Arial" w:cs="Arial" w:eastAsia="Arial" w:hAnsi="Arial"/>
          <w:b/>
          <w:bCs/>
          <w:color w:val="0d2b45"/>
          <w:sz w:val="20"/>
          <w:szCs w:val="20"/>
        </w:rPr>
        <w:t xml:space="preserve">Final Determination:  ☐ Tier 1      ☐ Tier 2      ☐ Tier 3</w:t>
      </w:r>
    </w:p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9. Documentation Requirements by Tier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Translate the tier into an actual artifact list — this is what tells a project team, at kickoff, exactly what they're on the hook for.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50"/>
      </w:tblGrid>
      <w:tr>
        <w:trPr>
          <w:tblHeader/>
        </w:trPr>
        <w:tc>
          <w:tcPr>
            <w:tcW w:type="dxa" w:w="1500"/>
            <w:shd w:fill="0d2b45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Tier</w:t>
            </w:r>
          </w:p>
        </w:tc>
        <w:tc>
          <w:tcPr>
            <w:tcW w:type="dxa" w:w="7850"/>
            <w:shd w:fill="0d2b45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Required Artifacts</w:t>
            </w:r>
          </w:p>
        </w:tc>
      </w:tr>
      <w:tr>
        <w:tc>
          <w:tcPr>
            <w:tcW w:type="dxa" w:w="1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Tier 1</w:t>
            </w:r>
          </w:p>
        </w:tc>
        <w:tc>
          <w:tcPr>
            <w:tcW w:type="dxa" w:w="785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Full set: Business Case &amp; Charter, Cost Estimate, Data Assessment Report, Solution Design Document, Data Dictionary &amp; Feature Spec, Model Development Report, Bias &amp; Fairness Assessment, Model Card, System Test Protocol, UAT Protocol, Sample Test Scripts, Test Summary Report, RTM, Model Validation Report, Deployment &amp; Hypercare Plan, Training &amp; Competency Records, AI Solutions FMEA, plus Stage 8 monitoring/review artifacts</w:t>
            </w:r>
          </w:p>
        </w:tc>
      </w:tr>
      <w:tr>
        <w:tc>
          <w:tcPr>
            <w:tcW w:type="dxa" w:w="150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Tier 2</w:t>
            </w:r>
          </w:p>
        </w:tc>
        <w:tc>
          <w:tcPr>
            <w:tcW w:type="dxa" w:w="7850"/>
            <w:shd w:fill="f4f7f8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Standard set: Business Case &amp; Charter, Data Assessment Report, Solution Design Document, Model Development Report, Bias &amp; Fairness Assessment, System Test Protocol, Test Summary Report, RTM, Deployment &amp; Hypercare Plan</w:t>
            </w:r>
          </w:p>
        </w:tc>
      </w:tr>
      <w:tr>
        <w:tc>
          <w:tcPr>
            <w:tcW w:type="dxa" w:w="1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Tier 3</w:t>
            </w:r>
          </w:p>
        </w:tc>
        <w:tc>
          <w:tcPr>
            <w:tcW w:type="dxa" w:w="785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Light set: Business Case &amp; Charter (abbreviated), Data Assessment Report, System Test Protocol, Test Summary Report</w:t>
            </w:r>
          </w:p>
        </w:tc>
      </w:tr>
    </w:tbl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10. Review Cadence &amp; Update Triggers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Define what makes this document 'living' in practice — a trigger list is what keeps it from silently going stale.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standing review cadence applies regardless of triggers (e.g., annual)?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events mandate an immediate update: new release, new data source, new jurisdiction, regulatory change, M&amp;A, material architecture change?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Who is responsible for confirming this document was reviewed before each release proceeds to its own Stage 1 Charter?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11. Approval &amp; Sign-off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Approve this version before it governs the next release's documentation scope.</w:t>
      </w:r>
    </w:p>
    <w:p>
      <w:pPr>
        <w:spacing w:after="60"/>
      </w:pPr>
    </w:p>
    <w:tbl>
      <w:tblPr>
        <w:tblW w:type="pct" w:w="100%"/>
        <w:tblBorders>
          <w:top w:val="single" w:color="c9d2d8" w:sz="4"/>
          <w:left w:val="single" w:color="c9d2d8" w:sz="4"/>
          <w:bottom w:val="single" w:color="c9d2d8" w:sz="4"/>
          <w:right w:val="single" w:color="c9d2d8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5"/>
            <w:shd w:fill="0d2b45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dxa" w:w="25"/>
            <w:shd w:fill="0d2b45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dxa" w:w="25"/>
            <w:shd w:fill="0d2b45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dxa" w:w="25"/>
            <w:shd w:fill="0d2b45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Product Owner (Author)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Quality/Compliance Lead</w:t>
            </w:r>
          </w:p>
        </w:tc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Privacy Officer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Legal Counsel</w:t>
            </w:r>
          </w:p>
        </w:tc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Security Lead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References &amp; Sources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4a4a4a"/>
          <w:sz w:val="18"/>
          <w:szCs w:val="18"/>
        </w:rPr>
        <w:t xml:space="preserve">External sources consulted in developing this artifact's structure and requirements. Article/clause-level citations appear inline throughout; full source details are listed here for verification.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21 CFR Part 11 — Electronic Records; Electronic Signatures</w:t>
      </w:r>
      <w:r>
        <w:rPr>
          <w:rFonts w:ascii="Arial" w:cs="Arial" w:eastAsia="Arial" w:hAnsi="Arial"/>
          <w:sz w:val="19"/>
          <w:szCs w:val="19"/>
        </w:rPr>
        <w:t xml:space="preserve"> — U.S. Food and Drug Administration (eCFR)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1f6f78"/>
          <w:sz w:val="17"/>
          <w:szCs w:val="17"/>
        </w:rPr>
        <w:t xml:space="preserve">https://www.ecfr.gov/current/title-21/chapter-I/subchapter-A/part-11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Regulation (EU) 2024/1689 (Artificial Intelligence Act)</w:t>
      </w:r>
      <w:r>
        <w:rPr>
          <w:rFonts w:ascii="Arial" w:cs="Arial" w:eastAsia="Arial" w:hAnsi="Arial"/>
          <w:sz w:val="19"/>
          <w:szCs w:val="19"/>
        </w:rPr>
        <w:t xml:space="preserve"> — European Parliament and Council of the European Union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1f6f78"/>
          <w:sz w:val="17"/>
          <w:szCs w:val="17"/>
        </w:rPr>
        <w:t xml:space="preserve">https://eur-lex.europa.eu/eli/reg/2024/1689/oj/eng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HIPAA Security Rule, 45 CFR Parts 160 &amp; 164</w:t>
      </w:r>
      <w:r>
        <w:rPr>
          <w:rFonts w:ascii="Arial" w:cs="Arial" w:eastAsia="Arial" w:hAnsi="Arial"/>
          <w:sz w:val="19"/>
          <w:szCs w:val="19"/>
        </w:rPr>
        <w:t xml:space="preserve"> — U.S. Department of Health and Human Services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1f6f78"/>
          <w:sz w:val="17"/>
          <w:szCs w:val="17"/>
        </w:rPr>
        <w:t xml:space="preserve">https://www.hhs.gov/hipaa/for-professionals/security/index.html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Regulation (EU) 2016/679 (General Data Protection Regulation)</w:t>
      </w:r>
      <w:r>
        <w:rPr>
          <w:rFonts w:ascii="Arial" w:cs="Arial" w:eastAsia="Arial" w:hAnsi="Arial"/>
          <w:sz w:val="19"/>
          <w:szCs w:val="19"/>
        </w:rPr>
        <w:t xml:space="preserve"> — European Parliament and Council of the European Union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1f6f78"/>
          <w:sz w:val="17"/>
          <w:szCs w:val="17"/>
        </w:rPr>
        <w:t xml:space="preserve">https://eur-lex.europa.eu/eli/reg/2016/679/oj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ISO/IEC 42001:2023 — AI Management System</w:t>
      </w:r>
      <w:r>
        <w:rPr>
          <w:rFonts w:ascii="Arial" w:cs="Arial" w:eastAsia="Arial" w:hAnsi="Arial"/>
          <w:sz w:val="19"/>
          <w:szCs w:val="19"/>
        </w:rPr>
        <w:t xml:space="preserve"> — International Organization for Standardization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1f6f78"/>
          <w:sz w:val="17"/>
          <w:szCs w:val="17"/>
        </w:rPr>
        <w:t xml:space="preserve">https://www.iso.org/standard/81230.html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OECD AI Principles</w:t>
      </w:r>
      <w:r>
        <w:rPr>
          <w:rFonts w:ascii="Arial" w:cs="Arial" w:eastAsia="Arial" w:hAnsi="Arial"/>
          <w:sz w:val="19"/>
          <w:szCs w:val="19"/>
        </w:rPr>
        <w:t xml:space="preserve"> — Organisation for Economic Co-operation and Development — the internationally-referenced foundation for trustworthy AI that NIST AI RMF and other frameworks build on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1f6f78"/>
          <w:sz w:val="17"/>
          <w:szCs w:val="17"/>
        </w:rPr>
        <w:t xml:space="preserve">https://oecd.ai/en/ai-principles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ISO/IEC 22989:2022 — Artificial Intelligence Concepts and Terminology</w:t>
      </w:r>
      <w:r>
        <w:rPr>
          <w:rFonts w:ascii="Arial" w:cs="Arial" w:eastAsia="Arial" w:hAnsi="Arial"/>
          <w:sz w:val="19"/>
          <w:szCs w:val="19"/>
        </w:rPr>
        <w:t xml:space="preserve"> — International Organization for Standardization — the vocabulary standard underlying ISO/IEC 42001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1f6f78"/>
          <w:sz w:val="17"/>
          <w:szCs w:val="17"/>
        </w:rPr>
        <w:t xml:space="preserve">https://www.iso.org/standard/74296.html</w:t>
      </w:r>
    </w:p>
    <w:p>
      <w:pPr>
        <w:spacing w:after="0" w:before="6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Internal references: </w:t>
      </w:r>
      <w:r>
        <w:rPr>
          <w:rFonts w:ascii="Arial" w:cs="Arial" w:eastAsia="Arial" w:hAnsi="Arial"/>
          <w:i/>
          <w:iCs/>
          <w:sz w:val="18"/>
          <w:szCs w:val="18"/>
        </w:rPr>
        <w:t xml:space="preserve">Master Crosswalk (full-depth version of the Section 3 screening), Business Case &amp; Project Charter (this analysis is completed before that document, and referenced by it), AI System Audit Checklist (verifies the resulting tier's documentation package is actually complete).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2d8" w:sz="4" w:space="4"/>
      </w:pBdr>
      <w:tabs>
        <w:tab w:val="right" w:pos="9350"/>
      </w:tabs>
    </w:pPr>
    <w:r>
      <w:rPr>
        <w:rFonts w:ascii="Arial" w:cs="Arial" w:eastAsia="Arial" w:hAnsi="Arial"/>
        <w:color w:val="6b6b6b"/>
        <w:sz w:val="16"/>
        <w:szCs w:val="16"/>
      </w:rPr>
      <w:t xml:space="preserve">Maria Febus · Beyond the Model — Implementation Artifact Templates</w:t>
    </w:r>
    <w:r>
      <w:rPr>
        <w:rFonts w:ascii="Arial" w:cs="Arial" w:eastAsia="Arial" w:hAnsi="Arial"/>
        <w:sz w:val="16"/>
        <w:szCs w:val="16"/>
      </w:rPr>
      <w:t xml:space="preserve">	</w:t>
    </w:r>
    <w:r>
      <w:rPr>
        <w:rFonts w:ascii="Arial" w:cs="Arial" w:eastAsia="Arial" w:hAnsi="Arial"/>
        <w:color w:val="6b6b6b"/>
        <w:sz w:val="16"/>
        <w:szCs w:val="16"/>
      </w:rPr>
      <w:t xml:space="preserve">Page </w:t>
    </w:r>
    <w:r>
      <w:rPr>
        <w:rFonts w:ascii="Arial" w:cs="Arial" w:eastAsia="Arial" w:hAnsi="Arial"/>
        <w:color w:val="6b6b6b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b6b"/>
        <w:sz w:val="16"/>
        <w:szCs w:val="16"/>
      </w:rPr>
      <w:t xml:space="preserve"> of </w:t>
    </w:r>
    <w:r>
      <w:rPr>
        <w:rFonts w:ascii="Arial" w:cs="Arial" w:eastAsia="Arial" w:hAnsi="Arial"/>
        <w:color w:val="6b6b6b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2d8" w:sz="4" w:space="4"/>
      </w:pBdr>
    </w:pPr>
    <w:r>
      <w:rPr>
        <w:rFonts w:ascii="Arial" w:cs="Arial" w:eastAsia="Arial" w:hAnsi="Arial"/>
        <w:b/>
        <w:bCs/>
        <w:color w:val="1f6f78"/>
        <w:sz w:val="16"/>
        <w:szCs w:val="16"/>
      </w:rPr>
      <w:t xml:space="preserve">COMPLIANCE ANALYSIS — PRODUCT-LEVEL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0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2026-08-21T20:45:43.858Z</dcterms:created>
  <dcterms:modified xsi:type="dcterms:W3CDTF">2026-08-21T20:45:43.871Z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